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A3" w:rsidRDefault="00BF598E">
      <w:pPr>
        <w:rPr>
          <w:rFonts w:ascii="Arial" w:hAnsi="Arial" w:cs="Arial"/>
          <w:noProof/>
          <w:color w:val="666666"/>
          <w:sz w:val="18"/>
          <w:szCs w:val="18"/>
          <w:lang w:eastAsia="ru-RU"/>
        </w:rPr>
      </w:pPr>
      <w:r w:rsidRPr="00BF598E"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CF4093" wp14:editId="34ECF81B">
            <wp:extent cx="1209675" cy="38608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AC" w:rsidRDefault="005D5FAC">
      <w:pPr>
        <w:rPr>
          <w:b/>
          <w:color w:val="365F91" w:themeColor="accent1" w:themeShade="BF"/>
          <w:sz w:val="32"/>
          <w:szCs w:val="32"/>
        </w:rPr>
      </w:pPr>
    </w:p>
    <w:p w:rsidR="00126763" w:rsidRPr="005D5FAC" w:rsidRDefault="005D5FAC">
      <w:pPr>
        <w:rPr>
          <w:b/>
          <w:color w:val="365F91" w:themeColor="accent1" w:themeShade="BF"/>
          <w:sz w:val="32"/>
          <w:szCs w:val="32"/>
        </w:rPr>
      </w:pPr>
      <w:r w:rsidRPr="005D5FAC">
        <w:rPr>
          <w:b/>
          <w:color w:val="365F91" w:themeColor="accent1" w:themeShade="BF"/>
          <w:sz w:val="32"/>
          <w:szCs w:val="32"/>
        </w:rPr>
        <w:t>Ситуации инженерно-экономического анализа</w:t>
      </w:r>
    </w:p>
    <w:p w:rsidR="00752F05" w:rsidRDefault="005D5FAC">
      <w:pPr>
        <w:rPr>
          <w:rFonts w:ascii="Arial" w:hAnsi="Arial" w:cs="Arial"/>
          <w:noProof/>
          <w:color w:val="666666"/>
          <w:sz w:val="18"/>
          <w:szCs w:val="18"/>
          <w:lang w:eastAsia="ru-RU"/>
        </w:rPr>
      </w:pPr>
      <w:r>
        <w:rPr>
          <w:rFonts w:ascii="Arial" w:hAnsi="Arial" w:cs="Arial"/>
          <w:noProof/>
          <w:color w:val="666666"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635</wp:posOffset>
            </wp:positionV>
            <wp:extent cx="1649095" cy="2399030"/>
            <wp:effectExtent l="0" t="0" r="8255" b="1270"/>
            <wp:wrapTight wrapText="bothSides">
              <wp:wrapPolygon edited="0">
                <wp:start x="0" y="0"/>
                <wp:lineTo x="0" y="21440"/>
                <wp:lineTo x="21459" y="21440"/>
                <wp:lineTo x="21459" y="0"/>
                <wp:lineTo x="0" y="0"/>
              </wp:wrapPolygon>
            </wp:wrapTight>
            <wp:docPr id="3" name="TB_Image" descr="http://baumanpress.ru/books/480/480b.jpg">
              <a:hlinkClick xmlns:a="http://schemas.openxmlformats.org/drawingml/2006/main" r:id="" tooltip="Clos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http://baumanpress.ru/books/480/480b.jpg">
                      <a:hlinkClick r:id="" tooltip="Clos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F20" w:rsidRDefault="00E840F5">
      <w:r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</w:t>
      </w:r>
      <w:r w:rsidR="00980F20">
        <w:t xml:space="preserve">    </w:t>
      </w:r>
    </w:p>
    <w:p w:rsidR="00BF598E" w:rsidRPr="00B34A74" w:rsidRDefault="0073793B">
      <w:r>
        <w:t xml:space="preserve">     </w:t>
      </w:r>
      <w:bookmarkStart w:id="0" w:name="_GoBack"/>
      <w:r w:rsidR="005D5FAC">
        <w:rPr>
          <w:color w:val="000000"/>
        </w:rPr>
        <w:t>М.Н. Захаров, И.Н. Омельченко, А.С. Саркисов</w:t>
      </w:r>
      <w:bookmarkEnd w:id="0"/>
      <w:r w:rsidR="00E840F5">
        <w:rPr>
          <w:color w:val="000000"/>
        </w:rPr>
        <w:t xml:space="preserve">, </w:t>
      </w:r>
      <w:r w:rsidR="00BF598E" w:rsidRPr="00BF598E">
        <w:t>2</w:t>
      </w:r>
      <w:r w:rsidR="00BF598E">
        <w:t>014 Тип</w:t>
      </w:r>
      <w:r w:rsidR="00E840F5">
        <w:t>,</w:t>
      </w:r>
      <w:r>
        <w:t xml:space="preserve"> </w:t>
      </w:r>
      <w:r w:rsidR="00126763">
        <w:rPr>
          <w:color w:val="000000"/>
        </w:rPr>
        <w:t>Монография</w:t>
      </w:r>
      <w:r w:rsidR="00BF598E" w:rsidRPr="00BF598E">
        <w:t>,</w:t>
      </w:r>
      <w:r w:rsidR="00B34A74">
        <w:t xml:space="preserve"> </w:t>
      </w:r>
      <w:r>
        <w:t xml:space="preserve">Объем </w:t>
      </w:r>
      <w:r w:rsidR="005D5FAC">
        <w:rPr>
          <w:color w:val="000000"/>
        </w:rPr>
        <w:t xml:space="preserve">432 стр. / 35 </w:t>
      </w:r>
      <w:proofErr w:type="spellStart"/>
      <w:r w:rsidR="005D5FAC">
        <w:rPr>
          <w:color w:val="000000"/>
        </w:rPr>
        <w:t>п.л</w:t>
      </w:r>
      <w:proofErr w:type="spellEnd"/>
      <w:r w:rsidR="005D5FAC">
        <w:rPr>
          <w:color w:val="000000"/>
        </w:rPr>
        <w:t>.</w:t>
      </w:r>
      <w:r w:rsidR="005D5FAC" w:rsidRPr="00BF598E">
        <w:t xml:space="preserve"> </w:t>
      </w:r>
      <w:r w:rsidR="00BF598E" w:rsidRPr="00BF598E">
        <w:t xml:space="preserve">Формат </w:t>
      </w:r>
      <w:r w:rsidR="005D5FAC">
        <w:rPr>
          <w:color w:val="000000"/>
        </w:rPr>
        <w:t>70x100/16</w:t>
      </w:r>
      <w:r w:rsidR="00E840F5">
        <w:t xml:space="preserve">, </w:t>
      </w:r>
      <w:r w:rsidR="00752F05">
        <w:rPr>
          <w:color w:val="000000"/>
        </w:rPr>
        <w:t xml:space="preserve">ISBN </w:t>
      </w:r>
      <w:r w:rsidR="005D5FAC">
        <w:rPr>
          <w:color w:val="000000"/>
        </w:rPr>
        <w:t>978-5-7038-3936-2</w:t>
      </w:r>
    </w:p>
    <w:p w:rsidR="00126763" w:rsidRDefault="00BF598E">
      <w:pPr>
        <w:rPr>
          <w:color w:val="000000"/>
        </w:rPr>
      </w:pPr>
      <w:r w:rsidRPr="00BF598E">
        <w:t xml:space="preserve">      </w:t>
      </w:r>
      <w:r w:rsidR="0073793B">
        <w:rPr>
          <w:color w:val="000000"/>
        </w:rPr>
        <w:t xml:space="preserve"> </w:t>
      </w:r>
      <w:r w:rsidR="00126763">
        <w:rPr>
          <w:color w:val="000000"/>
        </w:rPr>
        <w:t>Монография посвящена проблемам теплообмена и тепловых испытаний материалов и конструкций аэрокосмической техники c использованием источников высокоинтенсивного излучения. Приведены результаты исследований характеристик наиболее перспективных трубчатых источников излучения и примеры их практического применения. Рассмотрены радиационный и радиационно-</w:t>
      </w:r>
      <w:proofErr w:type="spellStart"/>
      <w:r w:rsidR="00126763">
        <w:rPr>
          <w:color w:val="000000"/>
        </w:rPr>
        <w:t>кондуктивный</w:t>
      </w:r>
      <w:proofErr w:type="spellEnd"/>
      <w:r w:rsidR="00126763">
        <w:rPr>
          <w:color w:val="000000"/>
        </w:rPr>
        <w:t xml:space="preserve"> теплообмен в полупрозрачной рассеивающей среде, наиболее полно учитывающей особенности процессов теплообмена в материалах конструкций летательных аппаратов, а также вопросы теплообмена при тепловых испытаниях и моделировании теплового режима объектов испытаний.</w:t>
      </w:r>
      <w:r w:rsidR="00126763">
        <w:rPr>
          <w:color w:val="000000"/>
        </w:rPr>
        <w:br/>
        <w:t>Приведены примеры решения актуальных прикладных задач радиационного и радиационно-</w:t>
      </w:r>
      <w:proofErr w:type="spellStart"/>
      <w:r w:rsidR="00126763">
        <w:rPr>
          <w:color w:val="000000"/>
        </w:rPr>
        <w:t>кондуктивного</w:t>
      </w:r>
      <w:proofErr w:type="spellEnd"/>
      <w:r w:rsidR="00126763">
        <w:rPr>
          <w:color w:val="000000"/>
        </w:rPr>
        <w:t xml:space="preserve"> теплообмена. Затронуты наиболее важные методические вопросы измерения тепловых потоков и температур.</w:t>
      </w:r>
      <w:r w:rsidR="00126763">
        <w:rPr>
          <w:color w:val="000000"/>
        </w:rPr>
        <w:br/>
        <w:t xml:space="preserve">Для научных работников и инженеров, специализирующихся в области тепловых испытаний и теплофизических исследований объектов ракетно-космической техники. Может быть </w:t>
      </w:r>
      <w:proofErr w:type="gramStart"/>
      <w:r w:rsidR="00126763">
        <w:rPr>
          <w:color w:val="000000"/>
        </w:rPr>
        <w:t>полезна</w:t>
      </w:r>
      <w:proofErr w:type="gramEnd"/>
      <w:r w:rsidR="00126763">
        <w:rPr>
          <w:color w:val="000000"/>
        </w:rPr>
        <w:t xml:space="preserve"> студентам, обучающимся в вузах авиационного и ракетного профиля.</w:t>
      </w:r>
    </w:p>
    <w:p w:rsidR="00126763" w:rsidRDefault="00126763" w:rsidP="00126763">
      <w:pPr>
        <w:rPr>
          <w:color w:val="000000"/>
        </w:rPr>
      </w:pPr>
      <w:r>
        <w:rPr>
          <w:color w:val="000000"/>
        </w:rPr>
        <w:t>Цена</w:t>
      </w:r>
      <w:r w:rsidRPr="00126763">
        <w:rPr>
          <w:color w:val="000000"/>
        </w:rPr>
        <w:t xml:space="preserve">: 330 </w:t>
      </w:r>
      <w:r>
        <w:rPr>
          <w:color w:val="000000"/>
        </w:rPr>
        <w:t>руб</w:t>
      </w:r>
      <w:r w:rsidRPr="00126763">
        <w:rPr>
          <w:color w:val="000000"/>
        </w:rPr>
        <w:t>.</w:t>
      </w:r>
    </w:p>
    <w:p w:rsidR="005D5FAC" w:rsidRPr="005D5FAC" w:rsidRDefault="005D5FAC" w:rsidP="005D5FAC">
      <w:pPr>
        <w:pStyle w:val="a5"/>
        <w:rPr>
          <w:color w:val="000000"/>
          <w:sz w:val="22"/>
          <w:szCs w:val="22"/>
        </w:rPr>
      </w:pPr>
      <w:r w:rsidRPr="005D5FAC">
        <w:rPr>
          <w:color w:val="000000"/>
          <w:sz w:val="22"/>
          <w:szCs w:val="22"/>
        </w:rPr>
        <w:t>1. Создание эффективных промышленных корпоративных структур</w:t>
      </w:r>
      <w:r w:rsidRPr="005D5FAC">
        <w:rPr>
          <w:color w:val="000000"/>
          <w:sz w:val="22"/>
          <w:szCs w:val="22"/>
        </w:rPr>
        <w:br/>
        <w:t>2. Формирование стратегии освоения ресурсов нефти и газа</w:t>
      </w:r>
      <w:r w:rsidRPr="005D5FAC">
        <w:rPr>
          <w:color w:val="000000"/>
          <w:sz w:val="22"/>
          <w:szCs w:val="22"/>
        </w:rPr>
        <w:br/>
        <w:t>3. Управление разработкой месторождений углеводородов</w:t>
      </w:r>
      <w:r w:rsidRPr="005D5FAC">
        <w:rPr>
          <w:color w:val="000000"/>
          <w:sz w:val="22"/>
          <w:szCs w:val="22"/>
        </w:rPr>
        <w:br/>
        <w:t>4. Оценка экономической эффективности диагностики трубопроводов</w:t>
      </w:r>
      <w:r w:rsidRPr="005D5FAC">
        <w:rPr>
          <w:color w:val="000000"/>
          <w:sz w:val="22"/>
          <w:szCs w:val="22"/>
        </w:rPr>
        <w:br/>
        <w:t>5. Обеспечение надежности газотранспортных систем</w:t>
      </w:r>
      <w:r w:rsidRPr="005D5FAC">
        <w:rPr>
          <w:color w:val="000000"/>
          <w:sz w:val="22"/>
          <w:szCs w:val="22"/>
        </w:rPr>
        <w:br/>
        <w:t xml:space="preserve">6. Оптимизация </w:t>
      </w:r>
      <w:proofErr w:type="gramStart"/>
      <w:r w:rsidRPr="005D5FAC">
        <w:rPr>
          <w:color w:val="000000"/>
          <w:sz w:val="22"/>
          <w:szCs w:val="22"/>
        </w:rPr>
        <w:t>сроков эксплуатации газоперекачивающих агрегатов компрессорных станций магистральных газопроводов</w:t>
      </w:r>
      <w:proofErr w:type="gramEnd"/>
      <w:r w:rsidRPr="005D5FAC">
        <w:rPr>
          <w:color w:val="000000"/>
          <w:sz w:val="22"/>
          <w:szCs w:val="22"/>
        </w:rPr>
        <w:br/>
        <w:t>7. Мониторинг производственно-хозяйственной деятельности предприятия магистрального транспорта газа</w:t>
      </w:r>
      <w:r w:rsidRPr="005D5FAC">
        <w:rPr>
          <w:color w:val="000000"/>
          <w:sz w:val="22"/>
          <w:szCs w:val="22"/>
        </w:rPr>
        <w:br/>
        <w:t>8. Управление системой нефтепродуктообеспечения</w:t>
      </w:r>
      <w:r w:rsidRPr="005D5FAC">
        <w:rPr>
          <w:color w:val="000000"/>
          <w:sz w:val="22"/>
          <w:szCs w:val="22"/>
        </w:rPr>
        <w:br/>
        <w:t>9. Формирование стратегии развития морских терминалов нефтепродуктов</w:t>
      </w:r>
      <w:r w:rsidRPr="005D5FAC">
        <w:rPr>
          <w:color w:val="000000"/>
          <w:sz w:val="22"/>
          <w:szCs w:val="22"/>
        </w:rPr>
        <w:br/>
        <w:t>10. Внедрение информационных технологий в процесс управления производственными предприятиями</w:t>
      </w:r>
      <w:r w:rsidRPr="005D5FAC">
        <w:rPr>
          <w:color w:val="000000"/>
          <w:sz w:val="22"/>
          <w:szCs w:val="22"/>
        </w:rPr>
        <w:br/>
        <w:t>11. Использование возобновляемых источников энергии </w:t>
      </w:r>
    </w:p>
    <w:p w:rsidR="00BF598E" w:rsidRPr="00126763" w:rsidRDefault="00BF598E" w:rsidP="005D5FAC"/>
    <w:sectPr w:rsidR="00BF598E" w:rsidRPr="0012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8E"/>
    <w:rsid w:val="000563E9"/>
    <w:rsid w:val="000A362F"/>
    <w:rsid w:val="00121661"/>
    <w:rsid w:val="00126763"/>
    <w:rsid w:val="0018526D"/>
    <w:rsid w:val="0027186E"/>
    <w:rsid w:val="00315081"/>
    <w:rsid w:val="00402B2D"/>
    <w:rsid w:val="004D307F"/>
    <w:rsid w:val="004D3D4F"/>
    <w:rsid w:val="00575172"/>
    <w:rsid w:val="005D5FAC"/>
    <w:rsid w:val="0073793B"/>
    <w:rsid w:val="00752F05"/>
    <w:rsid w:val="00797864"/>
    <w:rsid w:val="007B174B"/>
    <w:rsid w:val="008260FD"/>
    <w:rsid w:val="00901CBB"/>
    <w:rsid w:val="00980F20"/>
    <w:rsid w:val="00A0503E"/>
    <w:rsid w:val="00A20BA6"/>
    <w:rsid w:val="00A35735"/>
    <w:rsid w:val="00A4590D"/>
    <w:rsid w:val="00A66A0C"/>
    <w:rsid w:val="00A73C27"/>
    <w:rsid w:val="00A94AF9"/>
    <w:rsid w:val="00AC54B7"/>
    <w:rsid w:val="00B34A74"/>
    <w:rsid w:val="00BF598E"/>
    <w:rsid w:val="00D87A09"/>
    <w:rsid w:val="00E27BB3"/>
    <w:rsid w:val="00E81311"/>
    <w:rsid w:val="00E840F5"/>
    <w:rsid w:val="00EE4BF3"/>
    <w:rsid w:val="00FA07A3"/>
    <w:rsid w:val="00F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markup:semantic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40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40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G. Solomitskiy</dc:creator>
  <cp:lastModifiedBy>Sergey G. Solomitskiy</cp:lastModifiedBy>
  <cp:revision>2</cp:revision>
  <dcterms:created xsi:type="dcterms:W3CDTF">2014-09-25T10:08:00Z</dcterms:created>
  <dcterms:modified xsi:type="dcterms:W3CDTF">2014-09-25T10:08:00Z</dcterms:modified>
</cp:coreProperties>
</file>